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  <w:r w:rsidR="00EA561B">
              <w:t xml:space="preserve"> 2</w:t>
            </w:r>
          </w:p>
          <w:p w:rsidR="00B41203" w:rsidRPr="0032306C" w:rsidRDefault="00B41203" w:rsidP="00622C60"/>
        </w:tc>
      </w:tr>
    </w:tbl>
    <w:p w:rsidR="00D4262B" w:rsidRDefault="00D4262B" w:rsidP="007873A6">
      <w:pPr>
        <w:rPr>
          <w:b/>
          <w:sz w:val="28"/>
          <w:szCs w:val="28"/>
        </w:rPr>
      </w:pPr>
    </w:p>
    <w:p w:rsidR="00D4262B" w:rsidRDefault="00D4262B" w:rsidP="007873A6">
      <w:pPr>
        <w:rPr>
          <w:b/>
          <w:sz w:val="28"/>
          <w:szCs w:val="28"/>
        </w:rPr>
      </w:pPr>
    </w:p>
    <w:p w:rsidR="00D4262B" w:rsidRDefault="00D4262B" w:rsidP="007873A6">
      <w:pPr>
        <w:rPr>
          <w:b/>
          <w:sz w:val="28"/>
          <w:szCs w:val="28"/>
        </w:rPr>
      </w:pPr>
    </w:p>
    <w:p w:rsidR="00B41203" w:rsidRDefault="00957DB9" w:rsidP="00AF1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 xml:space="preserve">первоочередных действий по созданию и функционированию </w:t>
      </w:r>
      <w:r w:rsidR="008E4149" w:rsidRPr="008E4149">
        <w:rPr>
          <w:b/>
          <w:sz w:val="28"/>
          <w:szCs w:val="28"/>
        </w:rPr>
        <w:t>Центр</w:t>
      </w:r>
      <w:r w:rsidR="008E4149">
        <w:rPr>
          <w:b/>
          <w:sz w:val="28"/>
          <w:szCs w:val="28"/>
        </w:rPr>
        <w:t>а</w:t>
      </w:r>
      <w:r w:rsidR="008E4149" w:rsidRPr="008E4149">
        <w:rPr>
          <w:b/>
          <w:sz w:val="28"/>
          <w:szCs w:val="28"/>
        </w:rPr>
        <w:t xml:space="preserve"> образования </w:t>
      </w:r>
      <w:proofErr w:type="spellStart"/>
      <w:r w:rsidR="008E4149" w:rsidRPr="008E4149">
        <w:rPr>
          <w:b/>
          <w:sz w:val="28"/>
          <w:szCs w:val="28"/>
        </w:rPr>
        <w:t>естественно-научной</w:t>
      </w:r>
      <w:proofErr w:type="spellEnd"/>
      <w:r w:rsidR="008E4149" w:rsidRPr="008E4149">
        <w:rPr>
          <w:b/>
          <w:sz w:val="28"/>
          <w:szCs w:val="28"/>
        </w:rPr>
        <w:t xml:space="preserve"> и </w:t>
      </w:r>
      <w:proofErr w:type="gramStart"/>
      <w:r w:rsidR="008E4149" w:rsidRPr="008E4149">
        <w:rPr>
          <w:b/>
          <w:sz w:val="28"/>
          <w:szCs w:val="28"/>
        </w:rPr>
        <w:t>технологической</w:t>
      </w:r>
      <w:proofErr w:type="gramEnd"/>
      <w:r w:rsidR="008E4149" w:rsidRPr="008E4149">
        <w:rPr>
          <w:b/>
          <w:sz w:val="28"/>
          <w:szCs w:val="28"/>
        </w:rPr>
        <w:t xml:space="preserve"> направленностей</w:t>
      </w:r>
      <w:r w:rsidR="008E4149" w:rsidRPr="00B41203">
        <w:rPr>
          <w:b/>
          <w:sz w:val="28"/>
          <w:szCs w:val="28"/>
        </w:rPr>
        <w:t xml:space="preserve"> </w:t>
      </w:r>
      <w:r w:rsidR="00B41203" w:rsidRPr="00B41203">
        <w:rPr>
          <w:b/>
          <w:sz w:val="28"/>
          <w:szCs w:val="28"/>
        </w:rPr>
        <w:t>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5441B4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D4262B">
              <w:t>М</w:t>
            </w:r>
            <w:r w:rsidR="003C2117">
              <w:t>КОУ «</w:t>
            </w:r>
            <w:proofErr w:type="spellStart"/>
            <w:r w:rsidR="005441B4">
              <w:t>Ефимовская</w:t>
            </w:r>
            <w:proofErr w:type="spellEnd"/>
            <w:r w:rsidR="005441B4">
              <w:t xml:space="preserve"> ООШ</w:t>
            </w:r>
            <w:r w:rsidR="00DB4F3A">
              <w:t>»</w:t>
            </w:r>
            <w:r w:rsidR="005441B4">
              <w:t xml:space="preserve"> </w:t>
            </w:r>
            <w:proofErr w:type="spellStart"/>
            <w:r w:rsidR="00D4262B">
              <w:t>Кизляр</w:t>
            </w:r>
            <w:r w:rsidR="003C623B" w:rsidRPr="003C623B">
              <w:t>ского</w:t>
            </w:r>
            <w:proofErr w:type="spellEnd"/>
            <w:r w:rsidR="003C623B" w:rsidRPr="003C623B">
              <w:t xml:space="preserve"> района</w:t>
            </w:r>
            <w:r w:rsidR="00DB4F3A">
              <w:t xml:space="preserve"> РД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DB4F3A" w:rsidP="00622C60">
            <w:r>
              <w:t>июнь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DB4F3A" w:rsidP="00622C60">
            <w:r>
              <w:t>июнь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</w:t>
            </w:r>
            <w:proofErr w:type="gramStart"/>
            <w:r w:rsidRPr="003C623B">
              <w:t>н-</w:t>
            </w:r>
            <w:proofErr w:type="gramEnd"/>
            <w:r w:rsidRPr="003C623B">
              <w:t xml:space="preserve">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DB4F3A" w:rsidP="00622C60">
            <w:r>
              <w:t>июнь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DB4F3A" w:rsidP="00622C60">
            <w:r>
              <w:t>июнь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DB4F3A" w:rsidP="00622C60">
            <w:r>
              <w:t>июнь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 w:rsidRPr="003C623B">
              <w:t>со</w:t>
            </w:r>
            <w:proofErr w:type="gramEnd"/>
            <w:r w:rsidRPr="003C623B">
              <w:t xml:space="preserve">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</w:t>
            </w:r>
            <w:r w:rsidR="005441B4">
              <w:t>Физика», «Биология»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 xml:space="preserve">Обеспечение участия педагогов и сотрудников в повышении квалификации на </w:t>
            </w:r>
            <w:proofErr w:type="spellStart"/>
            <w:r w:rsidRPr="003C623B">
              <w:t>онлайн</w:t>
            </w:r>
            <w:proofErr w:type="spellEnd"/>
            <w:r w:rsidRPr="003C623B">
              <w:t xml:space="preserve">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 xml:space="preserve">- подготовка технического задания </w:t>
            </w:r>
            <w:proofErr w:type="gramStart"/>
            <w:r w:rsidRPr="003C623B">
              <w:t>согласно</w:t>
            </w:r>
            <w:proofErr w:type="gramEnd"/>
            <w:r w:rsidRPr="003C623B">
              <w:t xml:space="preserve">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EA561B">
            <w:r w:rsidRPr="003C623B">
              <w:t>20</w:t>
            </w:r>
            <w:r w:rsidR="00EA561B">
              <w:t>2</w:t>
            </w:r>
            <w:r w:rsidR="004A3E04">
              <w:t>1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D4262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0477B"/>
    <w:rsid w:val="000B6FC6"/>
    <w:rsid w:val="000C09D1"/>
    <w:rsid w:val="000D670E"/>
    <w:rsid w:val="00140554"/>
    <w:rsid w:val="0016667F"/>
    <w:rsid w:val="002432DF"/>
    <w:rsid w:val="00257CC8"/>
    <w:rsid w:val="00281828"/>
    <w:rsid w:val="0033769F"/>
    <w:rsid w:val="003640CA"/>
    <w:rsid w:val="003C2117"/>
    <w:rsid w:val="003C623B"/>
    <w:rsid w:val="003D685F"/>
    <w:rsid w:val="003E4E76"/>
    <w:rsid w:val="00432324"/>
    <w:rsid w:val="00466E04"/>
    <w:rsid w:val="00483ACA"/>
    <w:rsid w:val="00484B16"/>
    <w:rsid w:val="004A3CE7"/>
    <w:rsid w:val="004A3E04"/>
    <w:rsid w:val="005441B4"/>
    <w:rsid w:val="00745C9B"/>
    <w:rsid w:val="007873A6"/>
    <w:rsid w:val="007D349D"/>
    <w:rsid w:val="007D4D6A"/>
    <w:rsid w:val="008534A7"/>
    <w:rsid w:val="008E4149"/>
    <w:rsid w:val="00910936"/>
    <w:rsid w:val="00957DB9"/>
    <w:rsid w:val="009A2982"/>
    <w:rsid w:val="00A45EAF"/>
    <w:rsid w:val="00A6048F"/>
    <w:rsid w:val="00AE27E5"/>
    <w:rsid w:val="00AF0068"/>
    <w:rsid w:val="00AF1576"/>
    <w:rsid w:val="00B41203"/>
    <w:rsid w:val="00BA710A"/>
    <w:rsid w:val="00CE5F9E"/>
    <w:rsid w:val="00CF4B62"/>
    <w:rsid w:val="00CF4E12"/>
    <w:rsid w:val="00D4262B"/>
    <w:rsid w:val="00DB4F3A"/>
    <w:rsid w:val="00DB6FD3"/>
    <w:rsid w:val="00E32429"/>
    <w:rsid w:val="00E374C2"/>
    <w:rsid w:val="00E46429"/>
    <w:rsid w:val="00EA55AA"/>
    <w:rsid w:val="00EA561B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Магнат</cp:lastModifiedBy>
  <cp:revision>22</cp:revision>
  <cp:lastPrinted>2019-04-02T12:15:00Z</cp:lastPrinted>
  <dcterms:created xsi:type="dcterms:W3CDTF">2019-06-14T08:28:00Z</dcterms:created>
  <dcterms:modified xsi:type="dcterms:W3CDTF">2021-08-11T06:13:00Z</dcterms:modified>
</cp:coreProperties>
</file>